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22" w:rsidRDefault="00732E22" w:rsidP="00732E22">
      <w:pPr>
        <w:pStyle w:val="Focim"/>
      </w:pPr>
      <w:r>
        <w:t>2013-as költések</w:t>
      </w:r>
    </w:p>
    <w:p w:rsidR="00732E22" w:rsidRDefault="00732E22" w:rsidP="00732E22">
      <w:pPr>
        <w:pStyle w:val="FocimAlcime"/>
      </w:pPr>
      <w:r>
        <w:t>Az ELTE TTK HÖK Gazdálkodása</w:t>
      </w:r>
    </w:p>
    <w:p w:rsidR="00732E22" w:rsidRDefault="00732E22" w:rsidP="00732E22">
      <w:pPr>
        <w:pStyle w:val="LidB"/>
      </w:pPr>
      <w:r>
        <w:t>Idén kicsit megkésve bár, de a szokásoknak megfelelően olvashattok most a 2013-as költségvetésről. Nevezhetnénk ezt költségvetési beszámolónak is, de mégsem tesszük, hogy miért? Olvassátok el a cikket és megtudjátok!</w:t>
      </w:r>
    </w:p>
    <w:p w:rsidR="00732E22" w:rsidRDefault="00732E22" w:rsidP="00732E22">
      <w:pPr>
        <w:pStyle w:val="Kenyerszoveg"/>
      </w:pPr>
      <w:r>
        <w:t>Az előző évekhez képest a tavalyi év rendkívülinek tekinthető, tavaly ugyanis nem volt költségvetése a Kari HÖK-öknek. 2013-ban minden kari HÖK-ös költést az EHÖK (ELTE Egyetemi Hallgató Önkormányzat) fizetett ki, mégis fontosnak látjuk tájékoztatni a hallgatóságot arról, hogy milyen tételek kerültek kifizetésre TTK-s vonatkozásban. Mivel nem volt költségvetés, amiről be lehetne számolni ezért fordulhatott elő, hogy a tavalyi évről nincs a TTK HÖK Küldöttgyűlése által elfogadott 2013-as költségvetési beszámolója a TTK HÖK-nek. (Előző évek költségvetési beszámolóit megtaláljátok a</w:t>
      </w:r>
      <w:r>
        <w:rPr>
          <w:i/>
          <w:iCs/>
        </w:rPr>
        <w:t xml:space="preserve"> ttkhok.elte.hu </w:t>
      </w:r>
      <w:r>
        <w:t>oldalon!)</w:t>
      </w:r>
    </w:p>
    <w:p w:rsidR="00732E22" w:rsidRDefault="00732E22" w:rsidP="00732E22">
      <w:pPr>
        <w:pStyle w:val="Kenyerszoveg"/>
      </w:pPr>
      <w:r>
        <w:t xml:space="preserve">De mi is az a működési keret, amire a költségvetések vonatkoznak? Az a keret melyet a TTK HÖK a mindennapi működésére fordít egy, ösztöndíjaktól teljesen független keret, amely egyetemi szinten kerül meghatározásra a költségvetés elfogadásakor. Ebből fizetjük a telefonszámlát, irodaszereket vásárolunk, képzéseket tartunk (bele tartozik az egész mentorrendszer képzése), rendezvényeket szervezünk (gólya programok, LEN, kari rendezvények, kis szakos rendezvények) valamint ebből a keretből fedezzük a </w:t>
      </w:r>
      <w:proofErr w:type="spellStart"/>
      <w:r w:rsidRPr="00732E22">
        <w:rPr>
          <w:i/>
        </w:rPr>
        <w:t>Tétékás</w:t>
      </w:r>
      <w:proofErr w:type="spellEnd"/>
      <w:r w:rsidRPr="00732E22">
        <w:rPr>
          <w:i/>
        </w:rPr>
        <w:t xml:space="preserve"> Nyúz</w:t>
      </w:r>
      <w:r>
        <w:t xml:space="preserve"> megjelenését is.</w:t>
      </w:r>
    </w:p>
    <w:p w:rsidR="00732E22" w:rsidRDefault="00732E22" w:rsidP="00732E22">
      <w:pPr>
        <w:pStyle w:val="Kenyerszoveg"/>
        <w:rPr>
          <w:spacing w:val="-4"/>
        </w:rPr>
      </w:pPr>
      <w:r>
        <w:rPr>
          <w:spacing w:val="-4"/>
        </w:rPr>
        <w:t>Mivel tavaly ilyen kerettel nem rendelkeztünk, de mégis ki kellett a fent említett tételeket fizetni, ezért most arról fogok beszámolni költségvetési soronként, hogy milyen tételek kerültek kifizetésre az EHÖK részéről, melyek minket TTK-s hallgatókat érintettek.</w:t>
      </w:r>
    </w:p>
    <w:p w:rsidR="00732E22" w:rsidRDefault="00732E22" w:rsidP="00732E22">
      <w:pPr>
        <w:pStyle w:val="Kenyerszoveg"/>
      </w:pPr>
      <w:r>
        <w:t>Ezek részletezve: Képzések: TTK HÖK Önképző hétvégéje Dunavarsányon került megrendezésre. Bevonó tábor: A TTK HÖK-ös utánpótlás-képzés érdekében a tavalyi évben is megrendezésre került a bevonó tábor. Az eddigiekhez hasonlóan meghirdettük a Kar hallgatói számára a szokásos információs felületeken. A tábor résztvevői a TTK HÖK mindennapi munkájába nyerhettek betekintést, illetve szekciómunka során egy-egy területet jobban is megismerhettek.</w:t>
      </w:r>
    </w:p>
    <w:p w:rsidR="00732E22" w:rsidRDefault="00732E22" w:rsidP="00732E22">
      <w:pPr>
        <w:pStyle w:val="Kenyerszoveg"/>
      </w:pPr>
      <w:r>
        <w:t>Mentorrendszer: A mentorok több lépcsős szűrőn esnek át. A kötelező képzéseken elmélyítik tudásukat a tanulmányi ügyek, az ösztöndíjak, a külügyi lehetőségek, a rendezvények és a sportolási lehetőségek terén. A tábor és kirándulások keretében a csapatépítésre is hangsúlyt fektetünk. A mentorok semmiféle közvetlen pénzbeli támogatást vagy hallgatói juttatást nem kapnak tevékenységükért. A táborokban, képzéseken való részvétel kötelező egy mentor számára, a HÖK a szállásköltségeket, illetve esetenként az utazási költséget átvállalja a mentoroktól. A mentorok a táborok és a mentorrendszer egyéb költségeinek fedezését saját anyagi forrásaikból oldják meg, a TTK HÖK segítségével. A tavalyi évben a Mentorhétvége Százhalombattán került megrendezésre.</w:t>
      </w:r>
    </w:p>
    <w:p w:rsidR="00732E22" w:rsidRDefault="00732E22" w:rsidP="00732E22">
      <w:pPr>
        <w:pStyle w:val="Kenyerszoveg"/>
      </w:pPr>
      <w:r>
        <w:t>HÖOK vezetőképzők: A TTK HÖK az országos vezetőképzőkön is konstruktívan képviselteti magát. A vezetőképzőkre fordított kiadások visszafogása végett csupán az elnökség és az aktuálisan illetékes tisztségviselők vesznek részt a képzéseken. A részvételi díjuk csökkentése miatt a TTK HÖK támogatja szállásköltségüket. A 2013-es évben megrendezésre kerülő két országos szintű vezetőképzőn képviseltette magát a TTK HÖK.</w:t>
      </w:r>
    </w:p>
    <w:p w:rsidR="00732E22" w:rsidRDefault="00732E22" w:rsidP="00732E22">
      <w:pPr>
        <w:pStyle w:val="Kenyerszoveg"/>
        <w:rPr>
          <w:spacing w:val="-4"/>
        </w:rPr>
      </w:pPr>
      <w:r>
        <w:rPr>
          <w:spacing w:val="-4"/>
        </w:rPr>
        <w:t>Nyomda: A</w:t>
      </w:r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  <w:spacing w:val="-4"/>
        </w:rPr>
        <w:t>Tétékás</w:t>
      </w:r>
      <w:proofErr w:type="spellEnd"/>
      <w:r>
        <w:rPr>
          <w:i/>
          <w:iCs/>
          <w:spacing w:val="-4"/>
        </w:rPr>
        <w:t xml:space="preserve"> Nyúz </w:t>
      </w:r>
      <w:r>
        <w:rPr>
          <w:spacing w:val="-4"/>
        </w:rPr>
        <w:t xml:space="preserve">a TTK HÖK minden héten, 1200 példányszámban megjelenő, ingyenesen elvihető újsága, mely </w:t>
      </w:r>
      <w:proofErr w:type="gramStart"/>
      <w:r>
        <w:rPr>
          <w:spacing w:val="-4"/>
        </w:rPr>
        <w:t>A</w:t>
      </w:r>
      <w:proofErr w:type="gramEnd"/>
      <w:r>
        <w:rPr>
          <w:spacing w:val="-4"/>
        </w:rPr>
        <w:t xml:space="preserve">/4-es méretű, színes borítóval és 20 oldal terjedelemmel. Most is ezt forgatod kedves olvasó! :) A </w:t>
      </w:r>
      <w:proofErr w:type="spellStart"/>
      <w:r>
        <w:rPr>
          <w:i/>
          <w:iCs/>
          <w:spacing w:val="-4"/>
        </w:rPr>
        <w:t>Gólyanyúz</w:t>
      </w:r>
      <w:r>
        <w:rPr>
          <w:spacing w:val="-4"/>
        </w:rPr>
        <w:t>ban</w:t>
      </w:r>
      <w:proofErr w:type="spellEnd"/>
      <w:r>
        <w:rPr>
          <w:spacing w:val="-4"/>
        </w:rPr>
        <w:t xml:space="preserve"> az elsős hallgatókat látjuk az egyetemi élet elkezdéséhez szorosan kapcsolódó fontos és hasznos információkkal. A megjelent lapszámok </w:t>
      </w:r>
      <w:r>
        <w:rPr>
          <w:i/>
          <w:iCs/>
          <w:spacing w:val="-4"/>
        </w:rPr>
        <w:t xml:space="preserve">http://issuu.com/tetekas_nyuz </w:t>
      </w:r>
      <w:r>
        <w:rPr>
          <w:spacing w:val="-4"/>
        </w:rPr>
        <w:t>honlapon is elérhetők.</w:t>
      </w:r>
    </w:p>
    <w:p w:rsidR="00732E22" w:rsidRDefault="00732E22" w:rsidP="00732E22">
      <w:pPr>
        <w:pStyle w:val="Kenyerszoveg"/>
      </w:pPr>
      <w:r>
        <w:t xml:space="preserve">Rendezvények: A Lágymányosi Eötvös Napok a lágymányosi karok legnagyobb ingyenes rendezvénye. A rendezvényen 2 nagy sátorban neves együttesek koncerteztek, továbbá kisebb sátrakban egyéb elfoglaltságokon vehettek részt a rendezvény résztvevői, ahol TTK HÖK-ről, szakterületekről, civil szervezetekről, külföldi csereprogramokról lehetett bővebb információkat szerezni. 2013-ben is 4 gólyatábor került megrendezésre. A gólyatáborokra szánt keretösszeg táborok közötti felosztást idén is főként az </w:t>
      </w:r>
      <w:r>
        <w:lastRenderedPageBreak/>
        <w:t>alapszakra jelentkezettek száma határozta meg, ahova felvételt nyertek. Ezek a rendezvények az ELTE Egyetemi Szolgáltatásszervező Kft. segítségével kerültek lebonyolításra.</w:t>
      </w:r>
    </w:p>
    <w:p w:rsidR="00732E22" w:rsidRDefault="00732E22" w:rsidP="00732E22">
      <w:pPr>
        <w:pStyle w:val="Kenyerszoveg"/>
      </w:pPr>
      <w:r>
        <w:t xml:space="preserve">Irodaköltség: A hallgatói irodák alapfelszereléseit szereztük be tavaly, úgymint nyomtató papír, színes papír, </w:t>
      </w:r>
      <w:proofErr w:type="spellStart"/>
      <w:r>
        <w:t>toner</w:t>
      </w:r>
      <w:proofErr w:type="spellEnd"/>
      <w:r>
        <w:t>, boríték, mappák.</w:t>
      </w:r>
    </w:p>
    <w:p w:rsidR="00732E22" w:rsidRDefault="00732E22" w:rsidP="00732E22">
      <w:pPr>
        <w:pStyle w:val="Kenyerszoveg"/>
        <w:rPr>
          <w:spacing w:val="-6"/>
        </w:rPr>
      </w:pPr>
      <w:r>
        <w:rPr>
          <w:spacing w:val="-6"/>
        </w:rPr>
        <w:t>Távközlés: A 2 telefon elengedhetetlenül szükséges a mindennapos ügyintézésben. A 2013-as évben szinte minimális szinten tudtuk tartani a távközlési költségeket. 1-2 hónap volt az (főként nagy rendezvények idején mikor meghaladtuk a kilenc ezer forintot. Ez a korábbi évekhez képest nagyon alacsonyak számít.</w:t>
      </w:r>
    </w:p>
    <w:p w:rsidR="00732E22" w:rsidRDefault="00732E22" w:rsidP="00732E22">
      <w:pPr>
        <w:pStyle w:val="Kenyerszoveg"/>
      </w:pPr>
      <w:r>
        <w:t>PR és fejlesztések tételsor alatt nem volt költés a tavalyi évben és fent elmondottak alapján maradványt sem képeztünk.</w:t>
      </w:r>
    </w:p>
    <w:p w:rsidR="004E6B0E" w:rsidRDefault="00F874FA" w:rsidP="00732E22">
      <w:pPr>
        <w:pStyle w:val="Alairas"/>
      </w:pPr>
      <w:bookmarkStart w:id="0" w:name="_GoBack"/>
      <w:bookmarkEnd w:id="0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500"/>
      </w:tblGrid>
      <w:tr w:rsidR="00732E22">
        <w:trPr>
          <w:trHeight w:val="50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E22" w:rsidRDefault="00732E22">
            <w:pPr>
              <w:pStyle w:val="Kenyerszoveg"/>
              <w:ind w:firstLine="0"/>
              <w:jc w:val="left"/>
            </w:pPr>
            <w:r>
              <w:t>Képzések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E22" w:rsidRDefault="00732E22">
            <w:pPr>
              <w:pStyle w:val="Kenyerszoveg"/>
              <w:jc w:val="left"/>
            </w:pPr>
            <w:r>
              <w:t>863 030 Ft</w:t>
            </w:r>
          </w:p>
        </w:tc>
      </w:tr>
      <w:tr w:rsidR="00732E22">
        <w:trPr>
          <w:trHeight w:val="6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E22" w:rsidRDefault="00732E22">
            <w:pPr>
              <w:pStyle w:val="Kenyerszoveg"/>
              <w:ind w:firstLine="0"/>
              <w:jc w:val="left"/>
            </w:pPr>
            <w:r>
              <w:t>Nyomda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E22" w:rsidRDefault="00732E22">
            <w:pPr>
              <w:pStyle w:val="Kenyerszoveg"/>
              <w:jc w:val="left"/>
            </w:pPr>
            <w:r>
              <w:t>964 889 Ft</w:t>
            </w:r>
          </w:p>
        </w:tc>
      </w:tr>
      <w:tr w:rsidR="00732E22">
        <w:trPr>
          <w:trHeight w:val="6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E22" w:rsidRDefault="00732E22">
            <w:pPr>
              <w:pStyle w:val="Kenyerszoveg"/>
              <w:ind w:firstLine="0"/>
              <w:jc w:val="left"/>
            </w:pPr>
            <w:r>
              <w:t>Rendezvények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E22" w:rsidRDefault="00732E22">
            <w:pPr>
              <w:pStyle w:val="Kenyerszoveg"/>
              <w:jc w:val="left"/>
            </w:pPr>
            <w:r>
              <w:t>8 876 433 Ft</w:t>
            </w:r>
          </w:p>
        </w:tc>
      </w:tr>
      <w:tr w:rsidR="00732E22">
        <w:trPr>
          <w:trHeight w:val="6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E22" w:rsidRDefault="00732E22">
            <w:pPr>
              <w:pStyle w:val="Kenyerszoveg"/>
              <w:ind w:firstLine="0"/>
              <w:jc w:val="left"/>
            </w:pPr>
            <w:r>
              <w:t>Irodaköltségek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E22" w:rsidRDefault="00732E22">
            <w:pPr>
              <w:pStyle w:val="Kenyerszoveg"/>
              <w:jc w:val="left"/>
            </w:pPr>
            <w:r>
              <w:t>228 948 Ft</w:t>
            </w:r>
          </w:p>
        </w:tc>
      </w:tr>
      <w:tr w:rsidR="00732E22">
        <w:trPr>
          <w:trHeight w:val="6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E22" w:rsidRDefault="00732E22">
            <w:pPr>
              <w:pStyle w:val="Kenyerszoveg"/>
              <w:ind w:firstLine="0"/>
              <w:jc w:val="left"/>
            </w:pPr>
            <w:r>
              <w:t>Távközlés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E22" w:rsidRDefault="00732E22">
            <w:pPr>
              <w:pStyle w:val="Kenyerszoveg"/>
              <w:jc w:val="left"/>
            </w:pPr>
            <w:r>
              <w:t>48 653 Ft</w:t>
            </w:r>
          </w:p>
        </w:tc>
      </w:tr>
    </w:tbl>
    <w:p w:rsidR="00732E22" w:rsidRDefault="00732E22" w:rsidP="00732E22">
      <w:pPr>
        <w:pStyle w:val="Alairas"/>
      </w:pPr>
    </w:p>
    <w:sectPr w:rsidR="00732E22" w:rsidSect="00CD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E22"/>
    <w:rsid w:val="00260098"/>
    <w:rsid w:val="0052006D"/>
    <w:rsid w:val="00732E22"/>
    <w:rsid w:val="00CD0570"/>
    <w:rsid w:val="00F8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5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cim">
    <w:name w:val="Focim"/>
    <w:basedOn w:val="Norml"/>
    <w:next w:val="Kenyerszoveg"/>
    <w:uiPriority w:val="99"/>
    <w:rsid w:val="00732E22"/>
    <w:pPr>
      <w:keepNext/>
      <w:keepLines/>
      <w:autoSpaceDE w:val="0"/>
      <w:autoSpaceDN w:val="0"/>
      <w:adjustRightInd w:val="0"/>
      <w:spacing w:before="283" w:after="170" w:line="288" w:lineRule="auto"/>
      <w:textAlignment w:val="center"/>
    </w:pPr>
    <w:rPr>
      <w:rFonts w:ascii="Palatino Linotype" w:hAnsi="Palatino Linotype" w:cs="Palatino Linotype"/>
      <w:color w:val="000000"/>
      <w:sz w:val="48"/>
      <w:szCs w:val="48"/>
    </w:rPr>
  </w:style>
  <w:style w:type="paragraph" w:customStyle="1" w:styleId="FocimAlcime">
    <w:name w:val="FocimAlcime"/>
    <w:basedOn w:val="Focim"/>
    <w:next w:val="Kenyerszoveg"/>
    <w:uiPriority w:val="99"/>
    <w:rsid w:val="00732E22"/>
    <w:pPr>
      <w:spacing w:before="0" w:after="113"/>
    </w:pPr>
    <w:rPr>
      <w:sz w:val="36"/>
      <w:szCs w:val="36"/>
    </w:rPr>
  </w:style>
  <w:style w:type="paragraph" w:customStyle="1" w:styleId="Kenyerszoveg">
    <w:name w:val="Kenyerszoveg"/>
    <w:basedOn w:val="Norml"/>
    <w:uiPriority w:val="99"/>
    <w:rsid w:val="00732E22"/>
    <w:pPr>
      <w:autoSpaceDE w:val="0"/>
      <w:autoSpaceDN w:val="0"/>
      <w:adjustRightInd w:val="0"/>
      <w:spacing w:after="0" w:line="236" w:lineRule="atLeast"/>
      <w:ind w:firstLine="340"/>
      <w:jc w:val="both"/>
      <w:textAlignment w:val="center"/>
    </w:pPr>
    <w:rPr>
      <w:rFonts w:ascii="Palatino Linotype" w:hAnsi="Palatino Linotype" w:cs="Palatino Linotype"/>
      <w:color w:val="000000"/>
      <w:sz w:val="19"/>
      <w:szCs w:val="19"/>
    </w:rPr>
  </w:style>
  <w:style w:type="paragraph" w:customStyle="1" w:styleId="LidB">
    <w:name w:val="Lid_B"/>
    <w:basedOn w:val="Kenyerszoveg"/>
    <w:uiPriority w:val="99"/>
    <w:rsid w:val="00732E22"/>
    <w:pPr>
      <w:spacing w:after="113" w:line="280" w:lineRule="atLeast"/>
    </w:pPr>
    <w:rPr>
      <w:b/>
      <w:bCs/>
      <w:sz w:val="22"/>
      <w:szCs w:val="22"/>
    </w:rPr>
  </w:style>
  <w:style w:type="paragraph" w:customStyle="1" w:styleId="Alairas">
    <w:name w:val="Alairas"/>
    <w:basedOn w:val="Kenyerszoveg"/>
    <w:uiPriority w:val="99"/>
    <w:rsid w:val="00732E22"/>
    <w:pPr>
      <w:jc w:val="right"/>
    </w:pPr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32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Ákos</dc:creator>
  <cp:lastModifiedBy>Tamas</cp:lastModifiedBy>
  <cp:revision>2</cp:revision>
  <cp:lastPrinted>2014-11-30T18:48:00Z</cp:lastPrinted>
  <dcterms:created xsi:type="dcterms:W3CDTF">2014-11-30T18:49:00Z</dcterms:created>
  <dcterms:modified xsi:type="dcterms:W3CDTF">2014-11-30T18:49:00Z</dcterms:modified>
</cp:coreProperties>
</file>