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D1" w:rsidRPr="00EA59AD" w:rsidRDefault="004A20CD" w:rsidP="004A20CD">
      <w:pPr>
        <w:pStyle w:val="Cmsor1"/>
        <w:jc w:val="center"/>
        <w:rPr>
          <w:rFonts w:ascii="Times New Roman" w:hAnsi="Times New Roman" w:cs="Times New Roman"/>
          <w:b/>
          <w:sz w:val="56"/>
        </w:rPr>
      </w:pPr>
      <w:r w:rsidRPr="00EA59AD">
        <w:rPr>
          <w:rFonts w:ascii="Times New Roman" w:hAnsi="Times New Roman" w:cs="Times New Roman"/>
          <w:b/>
          <w:sz w:val="56"/>
        </w:rPr>
        <w:t xml:space="preserve"> </w:t>
      </w:r>
      <w:r w:rsidR="00EA59AD" w:rsidRPr="00EA59AD">
        <w:rPr>
          <w:rFonts w:ascii="Times New Roman" w:hAnsi="Times New Roman" w:cs="Times New Roman"/>
          <w:b/>
          <w:sz w:val="56"/>
        </w:rPr>
        <w:t>Záró</w:t>
      </w:r>
      <w:r w:rsidRPr="00EA59AD">
        <w:rPr>
          <w:rFonts w:ascii="Times New Roman" w:hAnsi="Times New Roman" w:cs="Times New Roman"/>
          <w:b/>
          <w:sz w:val="56"/>
        </w:rPr>
        <w:t xml:space="preserve"> beszámoló</w:t>
      </w:r>
    </w:p>
    <w:p w:rsidR="004A20CD" w:rsidRPr="00EA59AD" w:rsidRDefault="004A20CD" w:rsidP="004A20CD">
      <w:pPr>
        <w:pStyle w:val="Cmsor2"/>
        <w:spacing w:before="4320"/>
        <w:jc w:val="center"/>
        <w:rPr>
          <w:rFonts w:ascii="Times New Roman" w:hAnsi="Times New Roman" w:cs="Times New Roman"/>
          <w:sz w:val="56"/>
        </w:rPr>
      </w:pPr>
      <w:r w:rsidRPr="00EA59AD">
        <w:rPr>
          <w:rFonts w:ascii="Times New Roman" w:hAnsi="Times New Roman" w:cs="Times New Roman"/>
          <w:sz w:val="56"/>
        </w:rPr>
        <w:t>Horváth Tamás</w:t>
      </w:r>
    </w:p>
    <w:p w:rsidR="004A20CD" w:rsidRPr="00EA59AD" w:rsidRDefault="004A20CD" w:rsidP="004A20CD">
      <w:pPr>
        <w:pStyle w:val="Cmsor3"/>
        <w:spacing w:before="0"/>
        <w:jc w:val="center"/>
        <w:rPr>
          <w:rFonts w:ascii="Times New Roman" w:hAnsi="Times New Roman" w:cs="Times New Roman"/>
          <w:sz w:val="56"/>
        </w:rPr>
      </w:pPr>
      <w:r w:rsidRPr="00EA59AD">
        <w:rPr>
          <w:rFonts w:ascii="Times New Roman" w:hAnsi="Times New Roman" w:cs="Times New Roman"/>
          <w:sz w:val="56"/>
        </w:rPr>
        <w:t>Gazdasági elnökhelyettes</w:t>
      </w:r>
    </w:p>
    <w:p w:rsidR="004A20CD" w:rsidRPr="00EA59AD" w:rsidRDefault="004A20CD" w:rsidP="004A20CD">
      <w:pPr>
        <w:pStyle w:val="Cmsor3"/>
        <w:spacing w:before="0"/>
        <w:jc w:val="center"/>
        <w:rPr>
          <w:rFonts w:ascii="Times New Roman" w:hAnsi="Times New Roman" w:cs="Times New Roman"/>
          <w:sz w:val="48"/>
        </w:rPr>
      </w:pPr>
      <w:r w:rsidRPr="00EA59AD">
        <w:rPr>
          <w:rFonts w:ascii="Times New Roman" w:hAnsi="Times New Roman" w:cs="Times New Roman"/>
          <w:sz w:val="48"/>
        </w:rPr>
        <w:t>ELTE TTK HÖK</w:t>
      </w:r>
    </w:p>
    <w:p w:rsidR="004A20CD" w:rsidRPr="00EA59AD" w:rsidRDefault="00787CF4" w:rsidP="004A20CD">
      <w:pPr>
        <w:pStyle w:val="Cmsor3"/>
        <w:spacing w:before="2760"/>
        <w:rPr>
          <w:rFonts w:ascii="Times New Roman" w:hAnsi="Times New Roman" w:cs="Times New Roman"/>
        </w:rPr>
      </w:pPr>
      <w:r w:rsidRPr="00EA59AD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4EAB9B4" wp14:editId="2BE2EDA2">
            <wp:simplePos x="0" y="0"/>
            <wp:positionH relativeFrom="column">
              <wp:posOffset>1148080</wp:posOffset>
            </wp:positionH>
            <wp:positionV relativeFrom="paragraph">
              <wp:posOffset>503555</wp:posOffset>
            </wp:positionV>
            <wp:extent cx="3238500" cy="24288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_ttk_hok_logo_400x3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CD" w:rsidRPr="00EA59AD" w:rsidRDefault="00A15C11" w:rsidP="004A20CD">
      <w:pPr>
        <w:pStyle w:val="Cmsor3"/>
        <w:spacing w:before="276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2015.05.1</w:t>
      </w:r>
      <w:r w:rsidR="009A2B6E" w:rsidRPr="00EA59AD">
        <w:rPr>
          <w:rFonts w:ascii="Times New Roman" w:hAnsi="Times New Roman" w:cs="Times New Roman"/>
          <w:sz w:val="56"/>
        </w:rPr>
        <w:t>6</w:t>
      </w:r>
      <w:r w:rsidR="00787CF4" w:rsidRPr="00EA59AD">
        <w:rPr>
          <w:rFonts w:ascii="Times New Roman" w:hAnsi="Times New Roman" w:cs="Times New Roman"/>
          <w:sz w:val="56"/>
        </w:rPr>
        <w:t xml:space="preserve">. </w:t>
      </w:r>
      <w:r w:rsidR="00BA599C" w:rsidRPr="00EA59AD">
        <w:rPr>
          <w:rFonts w:ascii="Times New Roman" w:hAnsi="Times New Roman" w:cs="Times New Roman"/>
          <w:sz w:val="56"/>
        </w:rPr>
        <w:t>–</w:t>
      </w:r>
      <w:r w:rsidR="00787CF4" w:rsidRPr="00EA59AD">
        <w:rPr>
          <w:rFonts w:ascii="Times New Roman" w:hAnsi="Times New Roman" w:cs="Times New Roman"/>
          <w:sz w:val="56"/>
        </w:rPr>
        <w:t xml:space="preserve"> </w:t>
      </w:r>
      <w:r w:rsidR="00BA599C" w:rsidRPr="00EA59AD">
        <w:rPr>
          <w:rFonts w:ascii="Times New Roman" w:hAnsi="Times New Roman" w:cs="Times New Roman"/>
          <w:sz w:val="56"/>
        </w:rPr>
        <w:t>2016.</w:t>
      </w:r>
      <w:r>
        <w:rPr>
          <w:rFonts w:ascii="Times New Roman" w:hAnsi="Times New Roman" w:cs="Times New Roman"/>
          <w:sz w:val="56"/>
        </w:rPr>
        <w:t>05.13</w:t>
      </w:r>
      <w:r w:rsidR="004A20CD" w:rsidRPr="00EA59AD">
        <w:rPr>
          <w:rFonts w:ascii="Times New Roman" w:hAnsi="Times New Roman" w:cs="Times New Roman"/>
          <w:sz w:val="56"/>
        </w:rPr>
        <w:t>.</w:t>
      </w:r>
    </w:p>
    <w:p w:rsidR="00EA59AD" w:rsidRPr="00EA59AD" w:rsidRDefault="00EA59AD" w:rsidP="00EA59AD">
      <w:pPr>
        <w:pStyle w:val="Cmsor1"/>
        <w:numPr>
          <w:ilvl w:val="0"/>
          <w:numId w:val="3"/>
        </w:numPr>
        <w:ind w:left="709"/>
        <w:rPr>
          <w:rFonts w:ascii="Times New Roman" w:hAnsi="Times New Roman" w:cs="Times New Roman"/>
          <w:b/>
        </w:rPr>
      </w:pPr>
      <w:r w:rsidRPr="00EA59AD">
        <w:rPr>
          <w:rFonts w:ascii="Times New Roman" w:hAnsi="Times New Roman" w:cs="Times New Roman"/>
          <w:b/>
        </w:rPr>
        <w:lastRenderedPageBreak/>
        <w:t>Beszámoló az elmúlt ciklusról</w:t>
      </w:r>
    </w:p>
    <w:p w:rsidR="00EA59AD" w:rsidRPr="00EA59AD" w:rsidRDefault="00EA59AD" w:rsidP="007015D2">
      <w:pPr>
        <w:spacing w:before="120" w:after="0"/>
        <w:rPr>
          <w:rFonts w:ascii="Times New Roman" w:hAnsi="Times New Roman" w:cs="Times New Roman"/>
          <w:sz w:val="24"/>
          <w:u w:val="single"/>
        </w:rPr>
      </w:pPr>
      <w:r w:rsidRPr="00EA59AD">
        <w:rPr>
          <w:rFonts w:ascii="Times New Roman" w:hAnsi="Times New Roman" w:cs="Times New Roman"/>
          <w:sz w:val="24"/>
          <w:u w:val="single"/>
        </w:rPr>
        <w:t>Transzparencia</w:t>
      </w:r>
    </w:p>
    <w:p w:rsidR="00E36F75" w:rsidRPr="00EA59AD" w:rsidRDefault="00EA59AD" w:rsidP="00A15C11">
      <w:pPr>
        <w:spacing w:after="0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Pályázatomban első helyen szerepelt a transzparencia kérdése. Ezt teljes mértékben sikerült teljesíteni. A honlapon megtalálhatóak az összes gazdálkodásunkkal kapcsolatos beszámolók. Viszont jó pár negyedéves beszámoló nagy csúszással az év végén készült el. Ennek oka, hogy habár folyamatosan jeleztem az igényt az </w:t>
      </w:r>
      <w:proofErr w:type="spellStart"/>
      <w:r>
        <w:rPr>
          <w:rFonts w:ascii="Times New Roman" w:hAnsi="Times New Roman" w:cs="Times New Roman"/>
        </w:rPr>
        <w:t>analítikára</w:t>
      </w:r>
      <w:proofErr w:type="spellEnd"/>
      <w:r>
        <w:rPr>
          <w:rFonts w:ascii="Times New Roman" w:hAnsi="Times New Roman" w:cs="Times New Roman"/>
        </w:rPr>
        <w:t xml:space="preserve"> az adott negyedév után nem minden esetben kaptam kézhez. A hallgatói felmérés alapján a hallgatók nem tartják túl átláthatónak a TTK HÖK gazdálkodását. Ennek okaira a kérdőív nem tért ki. Úgy gondolom, ha valakit érdekel, akkor megtalál minden tájékoztatót erről a honlapon. Persze érdemes azt megvizsgálni, hogy milyen kommunikációs csatornákon tudunk eljutni még a hallgatósághoz.</w:t>
      </w:r>
    </w:p>
    <w:p w:rsidR="007015D2" w:rsidRPr="007015D2" w:rsidRDefault="007015D2" w:rsidP="007015D2">
      <w:pPr>
        <w:spacing w:before="120" w:after="0"/>
        <w:jc w:val="both"/>
        <w:rPr>
          <w:rFonts w:ascii="Times New Roman" w:hAnsi="Times New Roman" w:cs="Times New Roman"/>
          <w:u w:val="single"/>
        </w:rPr>
      </w:pPr>
      <w:r w:rsidRPr="007015D2">
        <w:rPr>
          <w:rFonts w:ascii="Times New Roman" w:hAnsi="Times New Roman" w:cs="Times New Roman"/>
          <w:u w:val="single"/>
        </w:rPr>
        <w:t>Gazdasági csoport</w:t>
      </w:r>
    </w:p>
    <w:p w:rsidR="007015D2" w:rsidRDefault="007015D2" w:rsidP="007015D2">
      <w:pPr>
        <w:spacing w:after="12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gazdasági csoport jelenleg létezik, azonban gyakorlati hasznát az elmúlt időszak alatt nem tapasztaltam. Érdemes lehet felülvizsgálni ennek szükségességét. </w:t>
      </w:r>
    </w:p>
    <w:p w:rsidR="007015D2" w:rsidRDefault="007015D2" w:rsidP="007015D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15D2">
        <w:rPr>
          <w:rFonts w:ascii="Times New Roman" w:hAnsi="Times New Roman" w:cs="Times New Roman"/>
          <w:u w:val="single"/>
        </w:rPr>
        <w:t>Iskolaszövetkezet-KHTEÖ</w:t>
      </w:r>
    </w:p>
    <w:p w:rsidR="007015D2" w:rsidRDefault="007015D2" w:rsidP="00A15C11">
      <w:pPr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előzetes szándéknak megfelelően 2015 nyarán megszüntetésre került a KHTEÖ és helyét az ELTE Iskolaszövetkezeti kifizetés vette át.</w:t>
      </w:r>
      <w:r w:rsidR="00F74E82" w:rsidRPr="00F74E82">
        <w:rPr>
          <w:rFonts w:ascii="Times New Roman" w:hAnsi="Times New Roman" w:cs="Times New Roman"/>
        </w:rPr>
        <w:t xml:space="preserve"> </w:t>
      </w:r>
      <w:r w:rsidR="00F74E82">
        <w:rPr>
          <w:rFonts w:ascii="Times New Roman" w:hAnsi="Times New Roman" w:cs="Times New Roman"/>
        </w:rPr>
        <w:t>Nagyon elhibázott döntés volt úgy átállni egy másik rendszerre, hogy egyáltalán nem történt meg az előkészítése.</w:t>
      </w:r>
      <w:r>
        <w:rPr>
          <w:rFonts w:ascii="Times New Roman" w:hAnsi="Times New Roman" w:cs="Times New Roman"/>
        </w:rPr>
        <w:t xml:space="preserve"> Sajnos semmi jele nem mutatkozott annak az ösztöndíj megszüntetésekor, hogy az átállás szeptemberre nem fog megvalósulni. Folyamatos hallgatói megkeresések érkeztek felém a kifizetések,</w:t>
      </w:r>
      <w:r w:rsidR="00F74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belépés időpontjával kapcsolatban, azonban én sem rendelkeztem megbízható </w:t>
      </w:r>
      <w:proofErr w:type="gramStart"/>
      <w:r>
        <w:rPr>
          <w:rFonts w:ascii="Times New Roman" w:hAnsi="Times New Roman" w:cs="Times New Roman"/>
        </w:rPr>
        <w:t>információkkal</w:t>
      </w:r>
      <w:proofErr w:type="gramEnd"/>
      <w:r>
        <w:rPr>
          <w:rFonts w:ascii="Times New Roman" w:hAnsi="Times New Roman" w:cs="Times New Roman"/>
        </w:rPr>
        <w:t>. Egészen 2016</w:t>
      </w:r>
      <w:r w:rsidR="00F74E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február-márciusig kellett várni arra, amíg az ELTE és az Iskolaszövetkezet szerződést kötött és e</w:t>
      </w:r>
      <w:r w:rsidR="00F74E82">
        <w:rPr>
          <w:rFonts w:ascii="Times New Roman" w:hAnsi="Times New Roman" w:cs="Times New Roman"/>
        </w:rPr>
        <w:t>lkezdhettek belépni a hallgatók. A</w:t>
      </w:r>
      <w:r>
        <w:rPr>
          <w:rFonts w:ascii="Times New Roman" w:hAnsi="Times New Roman" w:cs="Times New Roman"/>
        </w:rPr>
        <w:t xml:space="preserve"> kifizetések pedig áprilisban kezdtek megérkezni több</w:t>
      </w:r>
      <w:r w:rsidR="00F74E82">
        <w:rPr>
          <w:rFonts w:ascii="Times New Roman" w:hAnsi="Times New Roman" w:cs="Times New Roman"/>
        </w:rPr>
        <w:t>é-</w:t>
      </w:r>
      <w:r>
        <w:rPr>
          <w:rFonts w:ascii="Times New Roman" w:hAnsi="Times New Roman" w:cs="Times New Roman"/>
        </w:rPr>
        <w:t xml:space="preserve">kevésbé </w:t>
      </w:r>
      <w:proofErr w:type="gramStart"/>
      <w:r>
        <w:rPr>
          <w:rFonts w:ascii="Times New Roman" w:hAnsi="Times New Roman" w:cs="Times New Roman"/>
        </w:rPr>
        <w:t>probléma</w:t>
      </w:r>
      <w:proofErr w:type="gramEnd"/>
      <w:r w:rsidR="00F74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mentesen. Az Iskolaszövetkezettel való együttműködésen még nagyon sok javítani való van.</w:t>
      </w:r>
      <w:r w:rsidR="00F74E82">
        <w:rPr>
          <w:rFonts w:ascii="Times New Roman" w:hAnsi="Times New Roman" w:cs="Times New Roman"/>
        </w:rPr>
        <w:t xml:space="preserve"> </w:t>
      </w:r>
    </w:p>
    <w:p w:rsidR="00F74E82" w:rsidRDefault="00F74E82" w:rsidP="00BA58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74E82">
        <w:rPr>
          <w:rFonts w:ascii="Times New Roman" w:hAnsi="Times New Roman" w:cs="Times New Roman"/>
          <w:u w:val="single"/>
        </w:rPr>
        <w:t>Költségvetés</w:t>
      </w:r>
    </w:p>
    <w:p w:rsidR="00F74E82" w:rsidRDefault="00EB0844" w:rsidP="00BA584C">
      <w:pPr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ciklus elég rendhagyó volt költségvetés szempontból. Gondolok itt a kancellária rendszerének bevezetésére, ezen kívül a legfontosabb változás pedig a forrás</w:t>
      </w:r>
      <w:proofErr w:type="gramStart"/>
      <w:r>
        <w:rPr>
          <w:rFonts w:ascii="Times New Roman" w:hAnsi="Times New Roman" w:cs="Times New Roman"/>
        </w:rPr>
        <w:t>allokáció</w:t>
      </w:r>
      <w:proofErr w:type="gramEnd"/>
      <w:r>
        <w:rPr>
          <w:rFonts w:ascii="Times New Roman" w:hAnsi="Times New Roman" w:cs="Times New Roman"/>
        </w:rPr>
        <w:t xml:space="preserve"> megalkotása volt. </w:t>
      </w:r>
      <w:r w:rsidR="001A260B">
        <w:rPr>
          <w:rFonts w:ascii="Times New Roman" w:hAnsi="Times New Roman" w:cs="Times New Roman"/>
        </w:rPr>
        <w:t xml:space="preserve">Habár az </w:t>
      </w:r>
      <w:proofErr w:type="gramStart"/>
      <w:r w:rsidR="001A260B">
        <w:rPr>
          <w:rFonts w:ascii="Times New Roman" w:hAnsi="Times New Roman" w:cs="Times New Roman"/>
        </w:rPr>
        <w:t>allokáció</w:t>
      </w:r>
      <w:proofErr w:type="gramEnd"/>
      <w:r w:rsidR="001A260B">
        <w:rPr>
          <w:rFonts w:ascii="Times New Roman" w:hAnsi="Times New Roman" w:cs="Times New Roman"/>
        </w:rPr>
        <w:t xml:space="preserve"> elfogadásra került és ezek alapján történt a kari keretek meghatározása, a források nem lettek lekönyvelve a kari körzetekre, hanem minden a T400-ason maradt. Az SAP-hoz a kari gazdaságisok kaptak lekérdezési jogot, azonban csak az 5,6-os forrásról költött összegeket tudtuk nyomon követni, a 0,1-es forrásokról való költést a fenti okok miatt nem. A gólyatáborok megvalósítása és elszámolása volt a legkiemelkedőbb </w:t>
      </w:r>
      <w:proofErr w:type="gramStart"/>
      <w:r w:rsidR="001A260B">
        <w:rPr>
          <w:rFonts w:ascii="Times New Roman" w:hAnsi="Times New Roman" w:cs="Times New Roman"/>
        </w:rPr>
        <w:t>probléma</w:t>
      </w:r>
      <w:proofErr w:type="gramEnd"/>
      <w:r w:rsidR="001A260B">
        <w:rPr>
          <w:rFonts w:ascii="Times New Roman" w:hAnsi="Times New Roman" w:cs="Times New Roman"/>
        </w:rPr>
        <w:t xml:space="preserve"> a tavalyi évből. Mi is és mindenki azzal </w:t>
      </w:r>
      <w:proofErr w:type="gramStart"/>
      <w:r w:rsidR="001A260B">
        <w:rPr>
          <w:rFonts w:ascii="Times New Roman" w:hAnsi="Times New Roman" w:cs="Times New Roman"/>
        </w:rPr>
        <w:t>számolt</w:t>
      </w:r>
      <w:proofErr w:type="gramEnd"/>
      <w:r w:rsidR="001A260B">
        <w:rPr>
          <w:rFonts w:ascii="Times New Roman" w:hAnsi="Times New Roman" w:cs="Times New Roman"/>
        </w:rPr>
        <w:t xml:space="preserve"> hogy kb. a 2014-es tábori költségek fognak jelentkezni. November közepéig semmit nem lehetett tudni mennyibe kerültek a táborok, akkor derült ki a befizetések adókötelezettségére és arra, hogy nagyon sok szolgáltatás után reprezentációs adót kellett fizetni. Így mintegy 3x annyiba kerültek a </w:t>
      </w:r>
      <w:proofErr w:type="gramStart"/>
      <w:r w:rsidR="001A260B">
        <w:rPr>
          <w:rFonts w:ascii="Times New Roman" w:hAnsi="Times New Roman" w:cs="Times New Roman"/>
        </w:rPr>
        <w:t>táborok</w:t>
      </w:r>
      <w:proofErr w:type="gramEnd"/>
      <w:r w:rsidR="001A260B">
        <w:rPr>
          <w:rFonts w:ascii="Times New Roman" w:hAnsi="Times New Roman" w:cs="Times New Roman"/>
        </w:rPr>
        <w:t xml:space="preserve"> mint eredetileg terveztük volna. Emiatt a költségvetésünket közel 2 milliós </w:t>
      </w:r>
      <w:proofErr w:type="gramStart"/>
      <w:r w:rsidR="001A260B">
        <w:rPr>
          <w:rFonts w:ascii="Times New Roman" w:hAnsi="Times New Roman" w:cs="Times New Roman"/>
        </w:rPr>
        <w:t>deficittel</w:t>
      </w:r>
      <w:proofErr w:type="gramEnd"/>
      <w:r w:rsidR="001A260B">
        <w:rPr>
          <w:rFonts w:ascii="Times New Roman" w:hAnsi="Times New Roman" w:cs="Times New Roman"/>
        </w:rPr>
        <w:t xml:space="preserve"> zártuk.</w:t>
      </w:r>
      <w:r w:rsidR="001A260B" w:rsidRPr="001A260B">
        <w:rPr>
          <w:rFonts w:ascii="Times New Roman" w:hAnsi="Times New Roman" w:cs="Times New Roman"/>
        </w:rPr>
        <w:t xml:space="preserve"> </w:t>
      </w:r>
      <w:r w:rsidR="001A260B">
        <w:rPr>
          <w:rFonts w:ascii="Times New Roman" w:hAnsi="Times New Roman" w:cs="Times New Roman"/>
        </w:rPr>
        <w:t xml:space="preserve">A többi tételnél láthatóan mindenhol, alul költöttünk a tervezetthez képest. Sajnos vezetőképző nem került </w:t>
      </w:r>
      <w:proofErr w:type="spellStart"/>
      <w:r w:rsidR="001A260B">
        <w:rPr>
          <w:rFonts w:ascii="Times New Roman" w:hAnsi="Times New Roman" w:cs="Times New Roman"/>
        </w:rPr>
        <w:t>megerendezésre</w:t>
      </w:r>
      <w:proofErr w:type="spellEnd"/>
      <w:r w:rsidR="001A260B">
        <w:rPr>
          <w:rFonts w:ascii="Times New Roman" w:hAnsi="Times New Roman" w:cs="Times New Roman"/>
        </w:rPr>
        <w:t xml:space="preserve"> sem ősszel, sem tavasszal.</w:t>
      </w:r>
      <w:r w:rsidR="001A260B">
        <w:rPr>
          <w:rFonts w:ascii="Times New Roman" w:hAnsi="Times New Roman" w:cs="Times New Roman"/>
        </w:rPr>
        <w:t xml:space="preserve"> Egyébként költéseink a megszokott tételek voltak. Örömteli hír, hogy ismét meg tudtuk rendezni a gólyabálunkat az egyetem épületében egy év kihagyás után. </w:t>
      </w:r>
    </w:p>
    <w:p w:rsidR="001A260B" w:rsidRPr="001A260B" w:rsidRDefault="001A260B" w:rsidP="001A26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A260B">
        <w:rPr>
          <w:rFonts w:ascii="Times New Roman" w:hAnsi="Times New Roman" w:cs="Times New Roman"/>
          <w:u w:val="single"/>
        </w:rPr>
        <w:t>Beszerzések</w:t>
      </w:r>
    </w:p>
    <w:p w:rsidR="00BA584C" w:rsidRDefault="00BA584C" w:rsidP="00BA584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tavalyi évben szűnt meg az Egyetem nyomdai keretszerződése. Az új keretszerződés augusztusban került megkötésre. Már ezzel az új szerződéssel rendeltük meg a </w:t>
      </w:r>
      <w:proofErr w:type="spellStart"/>
      <w:r>
        <w:rPr>
          <w:rFonts w:ascii="Times New Roman" w:hAnsi="Times New Roman" w:cs="Times New Roman"/>
        </w:rPr>
        <w:t>Gólyanyúzt</w:t>
      </w:r>
      <w:proofErr w:type="spellEnd"/>
      <w:r>
        <w:rPr>
          <w:rFonts w:ascii="Times New Roman" w:hAnsi="Times New Roman" w:cs="Times New Roman"/>
        </w:rPr>
        <w:t xml:space="preserve">. Azonban az </w:t>
      </w:r>
      <w:proofErr w:type="gramStart"/>
      <w:r>
        <w:rPr>
          <w:rFonts w:ascii="Times New Roman" w:hAnsi="Times New Roman" w:cs="Times New Roman"/>
        </w:rPr>
        <w:t>irreálisan</w:t>
      </w:r>
      <w:proofErr w:type="gramEnd"/>
      <w:r>
        <w:rPr>
          <w:rFonts w:ascii="Times New Roman" w:hAnsi="Times New Roman" w:cs="Times New Roman"/>
        </w:rPr>
        <w:t xml:space="preserve"> magas árak miatt úgy döntöttünk, hogy nem kívánjuk a továbbiakban ezzel a keretszerződéssel kiadni az újságunkat. A Hallgatói Alapítványnak köszönhetően 2 heti papíros megjelenés biztosított.</w:t>
      </w:r>
    </w:p>
    <w:p w:rsidR="00BA584C" w:rsidRDefault="00BA584C" w:rsidP="00BA584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toneres</w:t>
      </w:r>
      <w:proofErr w:type="spellEnd"/>
      <w:r>
        <w:rPr>
          <w:rFonts w:ascii="Times New Roman" w:hAnsi="Times New Roman" w:cs="Times New Roman"/>
        </w:rPr>
        <w:t xml:space="preserve"> keretszerződés is lejárt. Új keretszerződés nem került megkötésre, helyette az IIG-</w:t>
      </w:r>
      <w:proofErr w:type="spellStart"/>
      <w:r>
        <w:rPr>
          <w:rFonts w:ascii="Times New Roman" w:hAnsi="Times New Roman" w:cs="Times New Roman"/>
        </w:rPr>
        <w:t>hez</w:t>
      </w:r>
      <w:proofErr w:type="spellEnd"/>
      <w:r>
        <w:rPr>
          <w:rFonts w:ascii="Times New Roman" w:hAnsi="Times New Roman" w:cs="Times New Roman"/>
        </w:rPr>
        <w:t xml:space="preserve"> került ezeknek a beszerzése. A januárban leadott megrendelésünk áprilisban került teljesítésre. Ez idő alatt a déli hallgatói irodában a munkavégzés nehézkesen folyt. </w:t>
      </w:r>
    </w:p>
    <w:p w:rsidR="00BA584C" w:rsidRDefault="00BA584C" w:rsidP="00BA584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pályázatomban szorgalmaztam az eszközpark mielőbbi felújítását. Sajnos ez a tavalyi évben nem tudott megvalósulni, azonban idén jeleztük igényünket az Informatikai Kar felé használt, de jó </w:t>
      </w:r>
      <w:r>
        <w:rPr>
          <w:rFonts w:ascii="Times New Roman" w:hAnsi="Times New Roman" w:cs="Times New Roman"/>
        </w:rPr>
        <w:lastRenderedPageBreak/>
        <w:t xml:space="preserve">állapotban lévő számítógépek iránt. Ezen kívül </w:t>
      </w:r>
      <w:r w:rsidR="007E1EC6">
        <w:rPr>
          <w:rFonts w:ascii="Times New Roman" w:hAnsi="Times New Roman" w:cs="Times New Roman"/>
        </w:rPr>
        <w:t>az IIG általi közbeszerzésen keresztül várhatóan nyáron jelentős fejlesztésben fog keresztül menni az eszközparkunk.</w:t>
      </w:r>
    </w:p>
    <w:p w:rsidR="007E1EC6" w:rsidRDefault="007E1EC6" w:rsidP="00BA584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elmúlt időszakban, több panasz is érkezett az ülőbútorok állapotára, ezért megindítottam új irodabútorok beszerzését. Ez jelenleg is folyamatban van.</w:t>
      </w:r>
    </w:p>
    <w:p w:rsidR="007E1EC6" w:rsidRDefault="007E1EC6" w:rsidP="007E1EC6">
      <w:pPr>
        <w:spacing w:before="120" w:after="0"/>
        <w:jc w:val="both"/>
        <w:rPr>
          <w:rFonts w:ascii="Times New Roman" w:hAnsi="Times New Roman" w:cs="Times New Roman"/>
          <w:u w:val="single"/>
        </w:rPr>
      </w:pPr>
      <w:r w:rsidRPr="007E1EC6">
        <w:rPr>
          <w:rFonts w:ascii="Times New Roman" w:hAnsi="Times New Roman" w:cs="Times New Roman"/>
          <w:u w:val="single"/>
        </w:rPr>
        <w:t>Raktár</w:t>
      </w:r>
    </w:p>
    <w:p w:rsidR="007E1EC6" w:rsidRDefault="007E1EC6" w:rsidP="00A15C11">
      <w:pPr>
        <w:spacing w:before="120"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nagyraktárban történt selejtezés után, nyáron felmértem az ott található dolgainak és új leltárrendet alakítottam ki. Az egykori ösztöndíj pályázatok a raktár, mintegy 50%-át foglalják el, ennek selejtezését sajnos nem tudtuk még megvalósítani. Ezen kívül a fényképes adatbázis sem valósult meg az eszközeinkről. A kancellári rendelkezéseknek, és a szabályzatoknak megfelelően Gazdasági elnökhelyettes feladatköre közül kikerült a leltárfelelősség, és a Dékáni Hivatal leltárfelelőse vette át ezt a feladatot.</w:t>
      </w:r>
    </w:p>
    <w:p w:rsidR="007E1EC6" w:rsidRDefault="007E1EC6" w:rsidP="007E1EC6">
      <w:pPr>
        <w:spacing w:before="120" w:after="0"/>
        <w:jc w:val="both"/>
        <w:rPr>
          <w:rFonts w:ascii="Times New Roman" w:hAnsi="Times New Roman" w:cs="Times New Roman"/>
          <w:u w:val="single"/>
        </w:rPr>
      </w:pPr>
      <w:r w:rsidRPr="007E1EC6">
        <w:rPr>
          <w:rFonts w:ascii="Times New Roman" w:hAnsi="Times New Roman" w:cs="Times New Roman"/>
          <w:u w:val="single"/>
        </w:rPr>
        <w:t>Egyéb</w:t>
      </w:r>
    </w:p>
    <w:p w:rsidR="00620355" w:rsidRDefault="007E1EC6" w:rsidP="00A15C11">
      <w:pPr>
        <w:spacing w:before="120"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Amíg nem volt kommunikációs elnökhelyettesünk, addig igyekeztem a hallgatói kommunikációval is </w:t>
      </w:r>
      <w:proofErr w:type="gramStart"/>
      <w:r>
        <w:rPr>
          <w:rFonts w:ascii="Times New Roman" w:hAnsi="Times New Roman" w:cs="Times New Roman"/>
        </w:rPr>
        <w:t>aktívan</w:t>
      </w:r>
      <w:proofErr w:type="gramEnd"/>
      <w:r>
        <w:rPr>
          <w:rFonts w:ascii="Times New Roman" w:hAnsi="Times New Roman" w:cs="Times New Roman"/>
        </w:rPr>
        <w:t xml:space="preserve"> foglalkozni. </w:t>
      </w:r>
      <w:r w:rsidR="00620355">
        <w:rPr>
          <w:rFonts w:ascii="Times New Roman" w:hAnsi="Times New Roman" w:cs="Times New Roman"/>
        </w:rPr>
        <w:t>A déli irodában rendet tartottam, próbáltam megoldani az éppen felmerülő gondokat, ahol tudtam segítettem. Örülök</w:t>
      </w:r>
      <w:r w:rsidR="00A15C11">
        <w:rPr>
          <w:rFonts w:ascii="Times New Roman" w:hAnsi="Times New Roman" w:cs="Times New Roman"/>
        </w:rPr>
        <w:t>, hogy megvalósításra került</w:t>
      </w:r>
      <w:r w:rsidR="00620355">
        <w:rPr>
          <w:rFonts w:ascii="Times New Roman" w:hAnsi="Times New Roman" w:cs="Times New Roman"/>
        </w:rPr>
        <w:t xml:space="preserve"> a pályázatomban szorgalmazott 2 hetente lévő tisztségviselői ülések. </w:t>
      </w:r>
    </w:p>
    <w:p w:rsidR="00620355" w:rsidRDefault="00620355" w:rsidP="007E1EC6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Tanulmányi okokon kívül, </w:t>
      </w:r>
      <w:proofErr w:type="gramStart"/>
      <w:r>
        <w:rPr>
          <w:rFonts w:ascii="Times New Roman" w:hAnsi="Times New Roman" w:cs="Times New Roman"/>
        </w:rPr>
        <w:t>delegáltságaimnak</w:t>
      </w:r>
      <w:proofErr w:type="gramEnd"/>
      <w:r>
        <w:rPr>
          <w:rFonts w:ascii="Times New Roman" w:hAnsi="Times New Roman" w:cs="Times New Roman"/>
        </w:rPr>
        <w:t xml:space="preserve"> minden esetben eleget tettem.</w:t>
      </w:r>
    </w:p>
    <w:p w:rsidR="00A15C11" w:rsidRPr="007E1EC6" w:rsidRDefault="00A15C11" w:rsidP="007E1EC6">
      <w:pPr>
        <w:spacing w:before="120" w:after="0"/>
        <w:jc w:val="both"/>
        <w:rPr>
          <w:rFonts w:ascii="Times New Roman" w:hAnsi="Times New Roman" w:cs="Times New Roman"/>
        </w:rPr>
      </w:pPr>
    </w:p>
    <w:p w:rsidR="00CC7A3E" w:rsidRPr="00EA59AD" w:rsidRDefault="00CC7A3E" w:rsidP="00CC7A3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A59AD">
        <w:rPr>
          <w:rFonts w:ascii="Times New Roman" w:hAnsi="Times New Roman" w:cs="Times New Roman"/>
          <w:b/>
          <w:sz w:val="24"/>
        </w:rPr>
        <w:t>Köszönöm, hogy elolvastad beszámolómat! Ha kérdésed merült fel a beszámolómmal kapcsolatban, keress bátran személyesen vagy valamely kommunikációs csatornán!</w:t>
      </w:r>
    </w:p>
    <w:p w:rsidR="00CC7A3E" w:rsidRPr="00EA59AD" w:rsidRDefault="00307FB3" w:rsidP="00CC7A3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A59AD">
        <w:rPr>
          <w:rFonts w:ascii="Times New Roman" w:hAnsi="Times New Roman" w:cs="Times New Roman"/>
          <w:b/>
          <w:sz w:val="24"/>
        </w:rPr>
        <w:t>Bp. 2</w:t>
      </w:r>
      <w:r w:rsidR="00A15C11">
        <w:rPr>
          <w:rFonts w:ascii="Times New Roman" w:hAnsi="Times New Roman" w:cs="Times New Roman"/>
          <w:b/>
          <w:sz w:val="24"/>
        </w:rPr>
        <w:t>016. 05. 10</w:t>
      </w:r>
      <w:r w:rsidR="009B644F" w:rsidRPr="00EA59AD">
        <w:rPr>
          <w:rFonts w:ascii="Times New Roman" w:hAnsi="Times New Roman" w:cs="Times New Roman"/>
          <w:b/>
          <w:sz w:val="24"/>
        </w:rPr>
        <w:t>.</w:t>
      </w:r>
    </w:p>
    <w:p w:rsidR="00244381" w:rsidRPr="00EA59AD" w:rsidRDefault="00244381" w:rsidP="00CC7A3E">
      <w:pPr>
        <w:spacing w:after="0" w:line="360" w:lineRule="auto"/>
        <w:ind w:right="567"/>
        <w:jc w:val="right"/>
        <w:rPr>
          <w:rFonts w:ascii="Times New Roman" w:hAnsi="Times New Roman" w:cs="Times New Roman"/>
          <w:b/>
          <w:sz w:val="24"/>
        </w:rPr>
      </w:pPr>
    </w:p>
    <w:p w:rsidR="00CC7A3E" w:rsidRPr="00EA59AD" w:rsidRDefault="00CC7A3E" w:rsidP="00CC7A3E">
      <w:pPr>
        <w:spacing w:after="0" w:line="360" w:lineRule="auto"/>
        <w:ind w:right="567"/>
        <w:jc w:val="right"/>
        <w:rPr>
          <w:rFonts w:ascii="Times New Roman" w:hAnsi="Times New Roman" w:cs="Times New Roman"/>
          <w:b/>
          <w:sz w:val="24"/>
        </w:rPr>
      </w:pPr>
      <w:r w:rsidRPr="00EA59AD">
        <w:rPr>
          <w:rFonts w:ascii="Times New Roman" w:hAnsi="Times New Roman" w:cs="Times New Roman"/>
          <w:b/>
          <w:sz w:val="24"/>
        </w:rPr>
        <w:t>Horváth Tamás</w:t>
      </w:r>
    </w:p>
    <w:p w:rsidR="00CC7A3E" w:rsidRPr="00EA59AD" w:rsidRDefault="00CC7A3E" w:rsidP="00CC7A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EA59AD">
        <w:rPr>
          <w:rFonts w:ascii="Times New Roman" w:hAnsi="Times New Roman" w:cs="Times New Roman"/>
          <w:b/>
          <w:sz w:val="24"/>
        </w:rPr>
        <w:t>Gazdasági Elnökhelyettes</w:t>
      </w:r>
    </w:p>
    <w:p w:rsidR="00CC7A3E" w:rsidRPr="00EA59AD" w:rsidRDefault="00CC7A3E" w:rsidP="00CC7A3E">
      <w:pPr>
        <w:spacing w:after="0" w:line="360" w:lineRule="auto"/>
        <w:ind w:right="567"/>
        <w:jc w:val="right"/>
        <w:rPr>
          <w:rFonts w:ascii="Times New Roman" w:hAnsi="Times New Roman" w:cs="Times New Roman"/>
          <w:b/>
          <w:sz w:val="24"/>
        </w:rPr>
      </w:pPr>
      <w:r w:rsidRPr="00EA59AD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60288" behindDoc="1" locked="0" layoutInCell="0" allowOverlap="1" wp14:anchorId="3BC31F04" wp14:editId="4789BB03">
            <wp:simplePos x="0" y="0"/>
            <wp:positionH relativeFrom="column">
              <wp:posOffset>3190875</wp:posOffset>
            </wp:positionH>
            <wp:positionV relativeFrom="paragraph">
              <wp:posOffset>7305040</wp:posOffset>
            </wp:positionV>
            <wp:extent cx="4369435" cy="3386455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9AD">
        <w:rPr>
          <w:rFonts w:ascii="Times New Roman" w:hAnsi="Times New Roman" w:cs="Times New Roman"/>
          <w:b/>
          <w:sz w:val="24"/>
        </w:rPr>
        <w:t>ELTE TTK HÖK</w:t>
      </w:r>
    </w:p>
    <w:p w:rsidR="00CC7A3E" w:rsidRPr="00EA59AD" w:rsidRDefault="00CC7A3E" w:rsidP="00C57875">
      <w:pPr>
        <w:rPr>
          <w:rFonts w:ascii="Times New Roman" w:hAnsi="Times New Roman" w:cs="Times New Roman"/>
        </w:rPr>
      </w:pPr>
    </w:p>
    <w:sectPr w:rsidR="00CC7A3E" w:rsidRPr="00EA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A3C"/>
    <w:multiLevelType w:val="hybridMultilevel"/>
    <w:tmpl w:val="B5E0BFB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F82C91"/>
    <w:multiLevelType w:val="hybridMultilevel"/>
    <w:tmpl w:val="A94C7BC6"/>
    <w:lvl w:ilvl="0" w:tplc="4CB41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334"/>
    <w:multiLevelType w:val="hybridMultilevel"/>
    <w:tmpl w:val="BC2EA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55C"/>
    <w:multiLevelType w:val="hybridMultilevel"/>
    <w:tmpl w:val="0B82C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E9D"/>
    <w:multiLevelType w:val="hybridMultilevel"/>
    <w:tmpl w:val="B6348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4095F"/>
    <w:multiLevelType w:val="hybridMultilevel"/>
    <w:tmpl w:val="A518115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D"/>
    <w:rsid w:val="000F2A05"/>
    <w:rsid w:val="00113773"/>
    <w:rsid w:val="00121024"/>
    <w:rsid w:val="00174A17"/>
    <w:rsid w:val="0018452E"/>
    <w:rsid w:val="001A260B"/>
    <w:rsid w:val="00204494"/>
    <w:rsid w:val="00206A76"/>
    <w:rsid w:val="002416D8"/>
    <w:rsid w:val="00244381"/>
    <w:rsid w:val="002A265F"/>
    <w:rsid w:val="00307FB3"/>
    <w:rsid w:val="003770AB"/>
    <w:rsid w:val="003D691D"/>
    <w:rsid w:val="003E4DF4"/>
    <w:rsid w:val="00420449"/>
    <w:rsid w:val="00445284"/>
    <w:rsid w:val="00445D2E"/>
    <w:rsid w:val="004A20CD"/>
    <w:rsid w:val="00535B48"/>
    <w:rsid w:val="005F59F2"/>
    <w:rsid w:val="00620355"/>
    <w:rsid w:val="00624271"/>
    <w:rsid w:val="006404EF"/>
    <w:rsid w:val="0065517C"/>
    <w:rsid w:val="007015D2"/>
    <w:rsid w:val="00724C4D"/>
    <w:rsid w:val="007479F8"/>
    <w:rsid w:val="00783D07"/>
    <w:rsid w:val="00787CF4"/>
    <w:rsid w:val="007C41C8"/>
    <w:rsid w:val="007C5411"/>
    <w:rsid w:val="007E1EC6"/>
    <w:rsid w:val="007F1ECC"/>
    <w:rsid w:val="008D3204"/>
    <w:rsid w:val="009A2B6E"/>
    <w:rsid w:val="009B4DB4"/>
    <w:rsid w:val="009B644F"/>
    <w:rsid w:val="009C49F1"/>
    <w:rsid w:val="00A15C11"/>
    <w:rsid w:val="00A9247A"/>
    <w:rsid w:val="00AC171E"/>
    <w:rsid w:val="00B106DD"/>
    <w:rsid w:val="00B560B1"/>
    <w:rsid w:val="00B8501E"/>
    <w:rsid w:val="00BA584C"/>
    <w:rsid w:val="00BA599C"/>
    <w:rsid w:val="00C32CD1"/>
    <w:rsid w:val="00C57875"/>
    <w:rsid w:val="00CB239E"/>
    <w:rsid w:val="00CC7A3E"/>
    <w:rsid w:val="00CD1AD8"/>
    <w:rsid w:val="00D256C3"/>
    <w:rsid w:val="00D470A4"/>
    <w:rsid w:val="00D655FB"/>
    <w:rsid w:val="00DA28B4"/>
    <w:rsid w:val="00DF379B"/>
    <w:rsid w:val="00E15BE1"/>
    <w:rsid w:val="00E36F75"/>
    <w:rsid w:val="00EA59AD"/>
    <w:rsid w:val="00EB0844"/>
    <w:rsid w:val="00EC097A"/>
    <w:rsid w:val="00F071DF"/>
    <w:rsid w:val="00F25F3D"/>
    <w:rsid w:val="00F42127"/>
    <w:rsid w:val="00F524EF"/>
    <w:rsid w:val="00F74E82"/>
    <w:rsid w:val="00FA292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EEB0"/>
  <w15:docId w15:val="{870EE1C8-C03C-411C-BB8D-D98D683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2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0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A2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2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A20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A2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55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247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9247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929B-4896-4245-8435-893C538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Horváth Tamás</cp:lastModifiedBy>
  <cp:revision>2</cp:revision>
  <cp:lastPrinted>2015-05-02T09:29:00Z</cp:lastPrinted>
  <dcterms:created xsi:type="dcterms:W3CDTF">2016-05-10T10:13:00Z</dcterms:created>
  <dcterms:modified xsi:type="dcterms:W3CDTF">2016-05-10T10:13:00Z</dcterms:modified>
</cp:coreProperties>
</file>