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57F" w:rsidRDefault="00DB24E9" w:rsidP="00DB24E9">
      <w:pPr>
        <w:spacing w:line="360" w:lineRule="auto"/>
        <w:jc w:val="righ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5A057F" w:rsidRDefault="00DB24E9" w:rsidP="00DB24E9">
      <w:pPr>
        <w:spacing w:line="360" w:lineRule="auto"/>
        <w:jc w:val="center"/>
      </w:pPr>
      <w:r>
        <w:rPr>
          <w:b/>
          <w:sz w:val="30"/>
          <w:szCs w:val="30"/>
        </w:rPr>
        <w:t>ELTE TTK HÖK KÜLDÖTTGYŰLÉSI BESZÁMOLÓ</w:t>
      </w:r>
    </w:p>
    <w:p w:rsidR="005A057F" w:rsidRDefault="005A057F" w:rsidP="00DB24E9">
      <w:pPr>
        <w:spacing w:line="360" w:lineRule="auto"/>
        <w:jc w:val="center"/>
      </w:pPr>
    </w:p>
    <w:p w:rsidR="005A057F" w:rsidRDefault="00DB24E9" w:rsidP="00DB24E9">
      <w:pPr>
        <w:spacing w:line="360" w:lineRule="auto"/>
        <w:jc w:val="center"/>
      </w:pPr>
      <w:r>
        <w:rPr>
          <w:b/>
          <w:sz w:val="24"/>
          <w:szCs w:val="24"/>
        </w:rPr>
        <w:t>TANULMÁNYI ELNÖKHELYETTES</w:t>
      </w:r>
    </w:p>
    <w:p w:rsidR="005A057F" w:rsidRDefault="005A057F" w:rsidP="00DB24E9">
      <w:pPr>
        <w:spacing w:line="360" w:lineRule="auto"/>
        <w:jc w:val="center"/>
      </w:pPr>
    </w:p>
    <w:p w:rsidR="005A057F" w:rsidRDefault="00DB24E9" w:rsidP="00DB24E9">
      <w:pPr>
        <w:spacing w:line="360" w:lineRule="auto"/>
        <w:jc w:val="center"/>
      </w:pPr>
      <w:proofErr w:type="spellStart"/>
      <w:r>
        <w:rPr>
          <w:sz w:val="24"/>
          <w:szCs w:val="24"/>
        </w:rPr>
        <w:t>Rádl</w:t>
      </w:r>
      <w:proofErr w:type="spellEnd"/>
      <w:r>
        <w:rPr>
          <w:sz w:val="24"/>
          <w:szCs w:val="24"/>
        </w:rPr>
        <w:t xml:space="preserve"> Attila</w:t>
      </w:r>
    </w:p>
    <w:p w:rsidR="005A057F" w:rsidRDefault="005A057F" w:rsidP="00DB24E9">
      <w:pPr>
        <w:spacing w:line="360" w:lineRule="auto"/>
        <w:jc w:val="center"/>
      </w:pPr>
    </w:p>
    <w:p w:rsidR="005A057F" w:rsidRDefault="00DB24E9" w:rsidP="00DB24E9">
      <w:pPr>
        <w:spacing w:line="360" w:lineRule="auto"/>
        <w:jc w:val="center"/>
      </w:pPr>
      <w:r>
        <w:rPr>
          <w:b/>
          <w:sz w:val="24"/>
          <w:szCs w:val="24"/>
        </w:rPr>
        <w:t>2015/2016 teljes ciklusra vonatkozó beszámoló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Általános feladatok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 xml:space="preserve">Fogadóóráimat egész évben rendre megtartottam, esetleges időpontváltozásról minden esetben tájékoztattam a honlapra látogatókat. A megkeresések száma rendkívül alacsonyan alakult a fogadóórákon. A levelezést igyekeztem a lehetőségeimhez mérten megfelelően </w:t>
      </w:r>
      <w:r>
        <w:rPr>
          <w:sz w:val="24"/>
          <w:szCs w:val="24"/>
        </w:rPr>
        <w:t xml:space="preserve">kezelni. A </w:t>
      </w:r>
      <w:proofErr w:type="spellStart"/>
      <w:r>
        <w:rPr>
          <w:sz w:val="24"/>
          <w:szCs w:val="24"/>
        </w:rPr>
        <w:t>Tétékás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Nyúzban</w:t>
      </w:r>
      <w:proofErr w:type="spellEnd"/>
      <w:r>
        <w:rPr>
          <w:sz w:val="24"/>
          <w:szCs w:val="24"/>
        </w:rPr>
        <w:t xml:space="preserve"> minden olyan tudnivaló megjelent, amelyek a Karon hallgatók számára elengedhetetlenek voltak tanulmányaik gördülékeny folytatásához. A választmányi üléseket az utóbbi időszakban részben felváltották az tisztségviselői ülések, ami</w:t>
      </w:r>
      <w:r>
        <w:rPr>
          <w:sz w:val="24"/>
          <w:szCs w:val="24"/>
        </w:rPr>
        <w:t>k jelentősen segítenek a társak projektjeinek és céljainak megismerésében, hatékonyabbá teszik az együttműködést.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Kari Tanács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>A Kari Tanács valamennyi ülésén részt vettem a vonatkozó időszak során. A ciklus során számos esetben került véleményezésre Hallg</w:t>
      </w:r>
      <w:r>
        <w:rPr>
          <w:sz w:val="24"/>
          <w:szCs w:val="24"/>
        </w:rPr>
        <w:t>atói Követelményrendszer módosítására javaslat, mindig igyekeztünk a delegáltakkal együtt olyan álláspontot kialakítani, amely megfelelő a Kar hallgatói számára. Az év meghatározó Tanács ülése volt a dékánválasztás, ez alkalommal nagy felelősség hárult a h</w:t>
      </w:r>
      <w:r>
        <w:rPr>
          <w:sz w:val="24"/>
          <w:szCs w:val="24"/>
        </w:rPr>
        <w:t xml:space="preserve">allgatói képviselőkre. A dékánjelölt pályázatában számos olyan pont szerepelt, amely alapvetően lehet hatással a Karon tanulmányokat folytatók lehetőségeire. Többek között felmerült a pusztán </w:t>
      </w:r>
      <w:proofErr w:type="spellStart"/>
      <w:r>
        <w:rPr>
          <w:sz w:val="24"/>
          <w:szCs w:val="24"/>
        </w:rPr>
        <w:t>angolnyelvű</w:t>
      </w:r>
      <w:proofErr w:type="spellEnd"/>
      <w:r>
        <w:rPr>
          <w:sz w:val="24"/>
          <w:szCs w:val="24"/>
        </w:rPr>
        <w:t xml:space="preserve"> mesterszakok indítása, illetve az oktatói és hallgat</w:t>
      </w:r>
      <w:r>
        <w:rPr>
          <w:sz w:val="24"/>
          <w:szCs w:val="24"/>
        </w:rPr>
        <w:t xml:space="preserve">ói leterheltség csökkentése az óraszámok redukálásával. Ezen kérdések esetében közel sem egyértelmű számunkra, hogy a hallgatói vélemények és érdekek miképpen alakulnak. Egy </w:t>
      </w:r>
      <w:proofErr w:type="spellStart"/>
      <w:r>
        <w:rPr>
          <w:sz w:val="24"/>
          <w:szCs w:val="24"/>
        </w:rPr>
        <w:t>teljeskörű</w:t>
      </w:r>
      <w:proofErr w:type="spellEnd"/>
      <w:r>
        <w:rPr>
          <w:sz w:val="24"/>
          <w:szCs w:val="24"/>
        </w:rPr>
        <w:t xml:space="preserve"> kérdőív kidolgozását javasolta ezért az Önkormányzat elnöke, amely megf</w:t>
      </w:r>
      <w:r>
        <w:rPr>
          <w:sz w:val="24"/>
          <w:szCs w:val="24"/>
        </w:rPr>
        <w:t xml:space="preserve">elelően felmérné a tantervekkel és tanulmányokkal kapcsolatos kérdéseket. A kidolgozás a következő ciklusra marad, azonban a kezdeményezésnek semmiképp nem szabad elhalnia. A Kar Kiváló Oktatója cím díjazottjait szokás szerint egy ilyen témájú </w:t>
      </w:r>
      <w:r>
        <w:rPr>
          <w:sz w:val="24"/>
          <w:szCs w:val="24"/>
        </w:rPr>
        <w:lastRenderedPageBreak/>
        <w:t>hallgatói ké</w:t>
      </w:r>
      <w:r>
        <w:rPr>
          <w:sz w:val="24"/>
          <w:szCs w:val="24"/>
        </w:rPr>
        <w:t xml:space="preserve">rdőív kiértékelése után terjesztettük fel, az idei elismerést </w:t>
      </w:r>
      <w:proofErr w:type="spellStart"/>
      <w:r>
        <w:rPr>
          <w:sz w:val="24"/>
          <w:szCs w:val="24"/>
        </w:rPr>
        <w:t>Ispánovity</w:t>
      </w:r>
      <w:proofErr w:type="spellEnd"/>
      <w:r>
        <w:rPr>
          <w:sz w:val="24"/>
          <w:szCs w:val="24"/>
        </w:rPr>
        <w:t xml:space="preserve"> Péter Dusán egyetemi adjunktus (Fizikai Intézet) és Gémes Margit műszaki gazdasági tanár (Matematikai Intézet) nyerte el.</w:t>
      </w:r>
    </w:p>
    <w:p w:rsidR="005A057F" w:rsidRDefault="005A057F" w:rsidP="00DB24E9">
      <w:pPr>
        <w:spacing w:line="360" w:lineRule="auto"/>
        <w:jc w:val="both"/>
      </w:pP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Tanulmányi- és Oktatási Bizottság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 xml:space="preserve">A Bizottság tevékenysége </w:t>
      </w:r>
      <w:r>
        <w:rPr>
          <w:sz w:val="24"/>
          <w:szCs w:val="24"/>
        </w:rPr>
        <w:t>számos alkalommal ütközött problémákba. A hosszú ideje kidolgozásra és elfogadásra váró ügyrend elfogadásra került, így sokkal szervezettebb keretek között folyhat a delegáltak munkája. Sajnos nem minden szakterület képviselteti magát jelenleg sem, és előf</w:t>
      </w:r>
      <w:r>
        <w:rPr>
          <w:sz w:val="24"/>
          <w:szCs w:val="24"/>
        </w:rPr>
        <w:t>ordult, hogy azonos képzésről érkezők rendkívül hamar váltották egymást, ami hosszú távon a megítélés javulása ellen dolgozik.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 xml:space="preserve"> </w:t>
      </w: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ELTE HÖK Tanulmányi Bizottság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>A Bizottság aktivitása a ciklus folyamán nagyon alacsony volt. Az egyetemi hallgatói képviseletet</w:t>
      </w:r>
      <w:r>
        <w:rPr>
          <w:sz w:val="24"/>
          <w:szCs w:val="24"/>
        </w:rPr>
        <w:t xml:space="preserve"> érintő kérdések vitája nem történt meg a testület szintjén. A folyamatos információhiánynak köszönhető számos olyan eset fordult elő, ahol az </w:t>
      </w:r>
      <w:proofErr w:type="spellStart"/>
      <w:r>
        <w:rPr>
          <w:sz w:val="24"/>
          <w:szCs w:val="24"/>
        </w:rPr>
        <w:t>érekképviseleti</w:t>
      </w:r>
      <w:proofErr w:type="spellEnd"/>
      <w:r>
        <w:rPr>
          <w:sz w:val="24"/>
          <w:szCs w:val="24"/>
        </w:rPr>
        <w:t xml:space="preserve"> és tájékoztatási rendszer alapvetően sérült. Az ilyen jellegű hibák utólagos korrekciója is renge</w:t>
      </w:r>
      <w:r>
        <w:rPr>
          <w:sz w:val="24"/>
          <w:szCs w:val="24"/>
        </w:rPr>
        <w:t>teg problémát okozott. Az Oktatói Munka Hallgatói Véleményezésének nyilvánossága terén nem sikerült a tervek ellenére sem előrelépni egyetemi szinten, így a Pedagógiai és Pszichológiai Kar OMHV mellett párhuzamosan működő, bárkinek elérhető kérdőívét lehet</w:t>
      </w:r>
      <w:r>
        <w:rPr>
          <w:sz w:val="24"/>
          <w:szCs w:val="24"/>
        </w:rPr>
        <w:t>ne alapul venni a jövőben.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Tanulmányi Csoport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 xml:space="preserve">A Tanulmányi Csoport működése javult valamelyest a ciklus alatt, az összehívott üléseken általában minden szakterület képviseltette magát legalább egy fővel. Az üléseken megvitatott álláspontok alapján sokkal </w:t>
      </w:r>
      <w:r>
        <w:rPr>
          <w:sz w:val="24"/>
          <w:szCs w:val="24"/>
        </w:rPr>
        <w:t xml:space="preserve">hatékonyabban végezhető az érdekképviselet. Alapvető segítség volt a szakos vélemények megismerése is, példának lehet venni a Képzési- és Kimeneti Követelmények módosítási </w:t>
      </w:r>
      <w:proofErr w:type="spellStart"/>
      <w:r>
        <w:rPr>
          <w:sz w:val="24"/>
          <w:szCs w:val="24"/>
        </w:rPr>
        <w:t>javaslainak</w:t>
      </w:r>
      <w:proofErr w:type="spellEnd"/>
      <w:r>
        <w:rPr>
          <w:sz w:val="24"/>
          <w:szCs w:val="24"/>
        </w:rPr>
        <w:t xml:space="preserve"> véleményezését, amely során kialakult észrevételeket hatékonyan tudtunk </w:t>
      </w:r>
      <w:r>
        <w:rPr>
          <w:sz w:val="24"/>
          <w:szCs w:val="24"/>
        </w:rPr>
        <w:t>a Hallgatói Önkormányzatok Országos Konferenciája felé továbbítani.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Tanulmányi ösztöndíj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 xml:space="preserve">A tanulmányi ösztöndíjjal kapcsolatban a beszámoló összeállításakor folyamatban van egy módosított számítási rendszer kidolgozása. Az ösztöndíjas biztossal karöltve </w:t>
      </w:r>
      <w:r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izsgáljuk annak a lehetőségét, hogy a jelenlegi rendszer kiegészítéseként az elégtelen érdemjegyet szerző hallgatók eredményei is bekerülnének a számításba. Az előzetes információk szerint jelentősen nem változna a támogatást elnyerők aránya ezáltal, azonb</w:t>
      </w:r>
      <w:r>
        <w:rPr>
          <w:sz w:val="24"/>
          <w:szCs w:val="24"/>
        </w:rPr>
        <w:t xml:space="preserve">an a javulást eredményez azon szakok esetében, ahol tipikusan az átlagnál jóval alacsonyabb a juttatást megkapók száma. A </w:t>
      </w:r>
      <w:proofErr w:type="spellStart"/>
      <w:r>
        <w:rPr>
          <w:sz w:val="24"/>
          <w:szCs w:val="24"/>
        </w:rPr>
        <w:t>teljeskörű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módosítái</w:t>
      </w:r>
      <w:proofErr w:type="spellEnd"/>
      <w:r>
        <w:rPr>
          <w:sz w:val="24"/>
          <w:szCs w:val="24"/>
        </w:rPr>
        <w:t xml:space="preserve"> javaslat kidolgozása még hátravan, jelenleg a statisztikai kimutatások elkészítése történik.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Köztársasági ösztöndíj és Kar Kiváló Hallgatója pályázatok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>Az alapvető fontosságú pályázatok bírálása során felmerült számos hiányosság. Az elvi kérdések közül a legmeghatározóbb, hogy a Tanulmányi- és Oktatási Bizottságnak milyen mértékű beleszólása van a</w:t>
      </w:r>
      <w:r>
        <w:rPr>
          <w:sz w:val="24"/>
          <w:szCs w:val="24"/>
        </w:rPr>
        <w:t xml:space="preserve"> részpontszámok alakulásába. A HÖK részéről valamennyi pályázási időszakban elkészített közéleti pontrendszer is hasonló problémákkal küzd. Rendkívül sokszínű a tevékenységek köre, amelyek évről évre folyamatosan változnak. A jelenleg általunk alkalmazott </w:t>
      </w:r>
      <w:r>
        <w:rPr>
          <w:sz w:val="24"/>
          <w:szCs w:val="24"/>
        </w:rPr>
        <w:t>koncepció szerint, amely a pályázatok eltérő részeiben is előfordul, szinte minden tevékenységet mérlegelés után, önállóan pontozunk. A tapasztalatok ugyanakkor azt mutatják, hogy az álláspontot nehéz megvédeni sok esetben. Kisebb mértékű módosítások már a</w:t>
      </w:r>
      <w:r>
        <w:rPr>
          <w:sz w:val="24"/>
          <w:szCs w:val="24"/>
        </w:rPr>
        <w:t xml:space="preserve"> legutóbbi Kar Kiváló Hallgatója pályázat kiírásánál megjelentek részünkről.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 xml:space="preserve">Kari Nyílt Nap és </w:t>
      </w:r>
      <w:proofErr w:type="spellStart"/>
      <w:r>
        <w:rPr>
          <w:b/>
          <w:sz w:val="24"/>
          <w:szCs w:val="24"/>
        </w:rPr>
        <w:t>Educatio</w:t>
      </w:r>
      <w:proofErr w:type="spellEnd"/>
      <w:r>
        <w:rPr>
          <w:b/>
          <w:sz w:val="24"/>
          <w:szCs w:val="24"/>
        </w:rPr>
        <w:t xml:space="preserve"> Kiállítás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 xml:space="preserve">A szokásoknak megfelelően a ciklus folyamán is a tanulmányi elnökhelyettes szervezői tevékenysége alatt folyt a Kari Nyílt Nap és az </w:t>
      </w:r>
      <w:proofErr w:type="spellStart"/>
      <w:r>
        <w:rPr>
          <w:sz w:val="24"/>
          <w:szCs w:val="24"/>
        </w:rPr>
        <w:t>Educatio</w:t>
      </w:r>
      <w:proofErr w:type="spellEnd"/>
      <w:r>
        <w:rPr>
          <w:sz w:val="24"/>
          <w:szCs w:val="24"/>
        </w:rPr>
        <w:t xml:space="preserve"> Kiállításon való képviselet. A programok az eddigi évekhez hasonlóan zajlottak, egyező érdeklődői létszámmal, ezért is indokolt átgondolni annak a lehetőségét, hogy az érdemi megvalósítás során a mindenkori tanulmányi elnökhelyettesnél rendezvényszervezés</w:t>
      </w:r>
      <w:r>
        <w:rPr>
          <w:sz w:val="24"/>
          <w:szCs w:val="24"/>
        </w:rPr>
        <w:t>hez hozzáértőbb személy végezze a Nyílt Nap helyszínének kialakítását, a programok tervezését és lebonyolítását.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b/>
          <w:sz w:val="24"/>
          <w:szCs w:val="24"/>
        </w:rPr>
        <w:t>Értékelés</w:t>
      </w: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>A pályázatomban lefektetett célok egy részét nem sikerült elérni különböző, sokszor külső tényező miatt. A kezdeti rutintalanság min</w:t>
      </w:r>
      <w:r>
        <w:rPr>
          <w:sz w:val="24"/>
          <w:szCs w:val="24"/>
        </w:rPr>
        <w:t xml:space="preserve">den új tisztségviselőnek gondot okoz, ez sajnos nálam is megfigyelhető volt. Csak részleges előrelépést sikerült elérni az Önkormányzaton belüli és a hallgatói oldal felé történő kommunikáció esetében. A </w:t>
      </w:r>
      <w:r>
        <w:rPr>
          <w:sz w:val="24"/>
          <w:szCs w:val="24"/>
        </w:rPr>
        <w:lastRenderedPageBreak/>
        <w:t>fentebb említett, függőben levő ügyek befejezése érd</w:t>
      </w:r>
      <w:r>
        <w:rPr>
          <w:sz w:val="24"/>
          <w:szCs w:val="24"/>
        </w:rPr>
        <w:t xml:space="preserve">ekében szeretnék pályázni a tisztségre ismét. 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>Az időrendi bontás ismételt felsorolásától eltekintenék, a korábbi beszámolókban elérhetőek. Az ciklus során felmerült, kisebb horderejű események ugyancsak megtalálhatóak a korábbi dokumentumokban.</w:t>
      </w:r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>Köszönöm</w:t>
      </w:r>
      <w:r>
        <w:rPr>
          <w:sz w:val="24"/>
          <w:szCs w:val="24"/>
        </w:rPr>
        <w:t>, hogy elolvastad a beszámolómat. Amennyiben kérdésed, észrevételed lenne, keress nyugodtan elektronikusan a taneh@ttkhok.elte.hu címen vagy személyesen!</w:t>
      </w:r>
      <w:bookmarkStart w:id="0" w:name="_GoBack"/>
      <w:bookmarkEnd w:id="0"/>
    </w:p>
    <w:p w:rsidR="005A057F" w:rsidRDefault="005A057F" w:rsidP="00DB24E9">
      <w:pPr>
        <w:spacing w:line="360" w:lineRule="auto"/>
        <w:jc w:val="both"/>
      </w:pPr>
    </w:p>
    <w:p w:rsidR="005A057F" w:rsidRDefault="00DB24E9" w:rsidP="00DB24E9">
      <w:pPr>
        <w:spacing w:line="360" w:lineRule="auto"/>
        <w:jc w:val="both"/>
      </w:pPr>
      <w:r>
        <w:rPr>
          <w:sz w:val="24"/>
          <w:szCs w:val="24"/>
        </w:rPr>
        <w:t>Budapest, 2016. május 10.</w:t>
      </w:r>
    </w:p>
    <w:p w:rsidR="005A057F" w:rsidRDefault="00DB24E9" w:rsidP="00DB24E9">
      <w:pPr>
        <w:spacing w:line="360" w:lineRule="auto"/>
        <w:jc w:val="right"/>
      </w:pPr>
      <w:proofErr w:type="spellStart"/>
      <w:r>
        <w:rPr>
          <w:sz w:val="24"/>
          <w:szCs w:val="24"/>
        </w:rPr>
        <w:t>Rádl</w:t>
      </w:r>
      <w:proofErr w:type="spellEnd"/>
      <w:r>
        <w:rPr>
          <w:sz w:val="24"/>
          <w:szCs w:val="24"/>
        </w:rPr>
        <w:t xml:space="preserve"> Attila</w:t>
      </w:r>
    </w:p>
    <w:p w:rsidR="005A057F" w:rsidRDefault="00DB24E9" w:rsidP="00DB24E9">
      <w:pPr>
        <w:spacing w:line="360" w:lineRule="auto"/>
        <w:jc w:val="right"/>
      </w:pPr>
      <w:r>
        <w:rPr>
          <w:sz w:val="24"/>
          <w:szCs w:val="24"/>
        </w:rPr>
        <w:t>Tanulmányi elnökhelyettes</w:t>
      </w:r>
    </w:p>
    <w:p w:rsidR="005A057F" w:rsidRDefault="00DB24E9" w:rsidP="00DB24E9">
      <w:pPr>
        <w:spacing w:line="360" w:lineRule="auto"/>
        <w:jc w:val="right"/>
      </w:pPr>
      <w:r>
        <w:rPr>
          <w:sz w:val="24"/>
          <w:szCs w:val="24"/>
        </w:rPr>
        <w:t>ELTE TTK HÖK</w:t>
      </w:r>
    </w:p>
    <w:p w:rsidR="005A057F" w:rsidRDefault="005A057F" w:rsidP="00DB24E9">
      <w:pPr>
        <w:spacing w:line="360" w:lineRule="auto"/>
        <w:jc w:val="both"/>
      </w:pPr>
    </w:p>
    <w:p w:rsidR="005A057F" w:rsidRDefault="005A057F" w:rsidP="00DB24E9">
      <w:pPr>
        <w:spacing w:line="360" w:lineRule="auto"/>
      </w:pPr>
    </w:p>
    <w:p w:rsidR="005A057F" w:rsidRDefault="005A057F" w:rsidP="00DB24E9">
      <w:pPr>
        <w:spacing w:line="360" w:lineRule="auto"/>
      </w:pPr>
    </w:p>
    <w:sectPr w:rsidR="005A057F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7F"/>
    <w:rsid w:val="005A057F"/>
    <w:rsid w:val="00D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CE1F-6ADD-4F05-95F5-B95F3D8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taneh</dc:creator>
  <cp:lastModifiedBy>taneh</cp:lastModifiedBy>
  <cp:revision>2</cp:revision>
  <dcterms:created xsi:type="dcterms:W3CDTF">2016-05-10T12:20:00Z</dcterms:created>
  <dcterms:modified xsi:type="dcterms:W3CDTF">2016-05-10T12:20:00Z</dcterms:modified>
</cp:coreProperties>
</file>